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Interface Control Document: C&amp;DH to Communications Interface</w:t>
      </w:r>
    </w:p>
    <w:p>
      <w:r>
        <w:rPr>
          <w:i/>
        </w:rPr>
        <w:t xml:space="preserve">Interface between C&amp;DH and Communications.</w:t>
      </w:r>
    </w:p>
    <w:p>
      <w:r>
        <w:t xml:space="preserve">Everything that crosses the boundary between the flight computer and the radios: decoded commands from the UHF transceiver and payload data to the S-band transmitter.</w:t>
      </w:r>
    </w:p>
    <w:p>
      <w:pPr>
        <w:pStyle w:val="Heading1"/>
        <w:keepNext/>
      </w:pPr>
      <w:bookmarkStart w:id="1" w:name="_RefH000001"/>
      <w:r>
        <w:t xml:space="preserve">Interface Register</w:t>
      </w:r>
      <w:bookmarkEnd w:id="1"/>
    </w:p>
    <w:tbl>
      <w:tblPr>
        <w:tblStyle w:val="TableGrid"/>
        <w:tblW w:w="9700" w:type="dxa"/>
        <w:tblLayout w:type="fixed"/>
      </w:tblPr>
      <w:tblGrid>
        <w:gridCol w:w="2385"/>
        <w:gridCol w:w="2385"/>
        <w:gridCol w:w="1113"/>
        <w:gridCol w:w="1272"/>
        <w:gridCol w:w="795"/>
        <w:gridCol w:w="636"/>
        <w:gridCol w:w="1113"/>
      </w:tblGrid>
      <w:tr>
        <w:trPr>
          <w:tblHeader/>
        </w:trPr>
        <w:tc>
          <w:tcPr>
            <w:tcW w:w="2385" w:type="dxa"/>
            <w:shd w:val="clear" w:color="auto" w:fill="E7ECF3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Interface</w:t>
            </w:r>
          </w:p>
        </w:tc>
        <w:tc>
          <w:tcPr>
            <w:tcW w:w="2385" w:type="dxa"/>
            <w:shd w:val="clear" w:color="auto" w:fill="E7ECF3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Endpoints</w:t>
            </w:r>
          </w:p>
        </w:tc>
        <w:tc>
          <w:tcPr>
            <w:tcW w:w="1113" w:type="dxa"/>
            <w:shd w:val="clear" w:color="auto" w:fill="E7ECF3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Status</w:t>
            </w:r>
          </w:p>
        </w:tc>
        <w:tc>
          <w:tcPr>
            <w:tcW w:w="1272" w:type="dxa"/>
            <w:shd w:val="clear" w:color="auto" w:fill="E7ECF3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Owner</w:t>
            </w:r>
          </w:p>
        </w:tc>
        <w:tc>
          <w:tcPr>
            <w:tcW w:w="795" w:type="dxa"/>
            <w:shd w:val="clear" w:color="auto" w:fill="E7ECF3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TBD/TBR</w:t>
            </w:r>
          </w:p>
        </w:tc>
        <w:tc>
          <w:tcPr>
            <w:tcW w:w="636" w:type="dxa"/>
            <w:shd w:val="clear" w:color="auto" w:fill="E7ECF3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Items</w:t>
            </w:r>
          </w:p>
        </w:tc>
        <w:tc>
          <w:tcPr>
            <w:tcW w:w="1113" w:type="dxa"/>
            <w:shd w:val="clear" w:color="auto" w:fill="E7ECF3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Capacity</w:t>
            </w:r>
          </w:p>
        </w:tc>
      </w:tr>
      <w:tr>
        <w:tc>
          <w:tcPr>
            <w:tcW w:w="2385" w:type="dxa"/>
          </w:tcPr>
          <w:p>
            <w:pPr>
              <w:spacing w:after="0"/>
            </w:pPr>
            <w:r>
              <w:rPr>
                <w:sz w:val="18"/>
              </w:rPr>
              <w:t xml:space="preserve">IF-26 C&amp;DH to Communications Interface</w:t>
            </w:r>
          </w:p>
        </w:tc>
        <w:tc>
          <w:tcPr>
            <w:tcW w:w="2385" w:type="dxa"/>
          </w:tcPr>
          <w:p>
            <w:pPr>
              <w:spacing w:after="0"/>
            </w:pPr>
            <w:r>
              <w:rPr>
                <w:sz w:val="18"/>
              </w:rPr>
              <w:t xml:space="preserve">C&amp;DH ↔ Communications</w:t>
            </w:r>
          </w:p>
        </w:tc>
        <w:tc>
          <w:tcPr>
            <w:tcW w:w="1113" w:type="dxa"/>
          </w:tcPr>
          <w:p>
            <w:pPr>
              <w:spacing w:after="0"/>
            </w:pPr>
            <w:r>
              <w:rPr>
                <w:sz w:val="18"/>
              </w:rPr>
              <w:t xml:space="preserve">Agreed</w:t>
            </w:r>
          </w:p>
        </w:tc>
        <w:tc>
          <w:tcPr>
            <w:tcW w:w="1272" w:type="dxa"/>
          </w:tcPr>
          <w:p>
            <w:pPr>
              <w:spacing w:after="0"/>
            </w:pPr>
            <w:r>
              <w:rPr>
                <w:sz w:val="18"/>
              </w:rPr>
              <w:t xml:space="preserve">Comms Lead</w:t>
            </w:r>
          </w:p>
        </w:tc>
        <w:tc>
          <w:tcPr>
            <w:tcW w:w="795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636" w:type="dxa"/>
          </w:tcPr>
          <w:p>
            <w:pPr>
              <w:spacing w:after="0"/>
            </w:pPr>
            <w:r>
              <w:rPr>
                <w:sz w:val="18"/>
              </w:rPr>
              <w:t xml:space="preserve">3</w:t>
            </w:r>
          </w:p>
        </w:tc>
        <w:tc>
          <w:tcPr>
            <w:tcW w:w="1113" w:type="dxa"/>
          </w:tcPr>
          <w:p>
            <w:pPr>
              <w:spacing w:after="0"/>
            </w:pPr>
            <w:r>
              <w:rPr>
                <w:sz w:val="18"/>
              </w:rPr>
              <w:t xml:space="preserve">No capacity</w:t>
            </w:r>
          </w:p>
        </w:tc>
      </w:tr>
      <w:tr>
        <w:tc>
          <w:tcPr>
            <w:tcW w:w="2385" w:type="dxa"/>
          </w:tcPr>
          <w:p>
            <w:pPr>
              <w:spacing w:after="0"/>
            </w:pPr>
            <w:r>
              <w:rPr>
                <w:sz w:val="18"/>
              </w:rPr>
              <w:t xml:space="preserve">IF-07 Radio Command Interface</w:t>
            </w:r>
          </w:p>
        </w:tc>
        <w:tc>
          <w:tcPr>
            <w:tcW w:w="2385" w:type="dxa"/>
          </w:tcPr>
          <w:p>
            <w:pPr>
              <w:spacing w:after="0"/>
            </w:pPr>
            <w:r>
              <w:rPr>
                <w:sz w:val="18"/>
              </w:rPr>
              <w:t xml:space="preserve">UHF Transceiver ↔ C&amp;DH</w:t>
            </w:r>
          </w:p>
        </w:tc>
        <w:tc>
          <w:tcPr>
            <w:tcW w:w="1113" w:type="dxa"/>
          </w:tcPr>
          <w:p>
            <w:pPr>
              <w:spacing w:after="0"/>
            </w:pPr>
            <w:r>
              <w:rPr>
                <w:sz w:val="18"/>
              </w:rPr>
              <w:t xml:space="preserve">Baselined</w:t>
            </w:r>
          </w:p>
        </w:tc>
        <w:tc>
          <w:tcPr>
            <w:tcW w:w="1272" w:type="dxa"/>
          </w:tcPr>
          <w:p>
            <w:pPr>
              <w:spacing w:after="0"/>
            </w:pPr>
            <w:r>
              <w:rPr>
                <w:sz w:val="18"/>
              </w:rPr>
              <w:t xml:space="preserve">Comms Lead</w:t>
            </w:r>
          </w:p>
        </w:tc>
        <w:tc>
          <w:tcPr>
            <w:tcW w:w="795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636" w:type="dxa"/>
          </w:tcPr>
          <w:p>
            <w:pPr>
              <w:spacing w:after="0"/>
            </w:pPr>
            <w:r>
              <w:rPr>
                <w:sz w:val="18"/>
              </w:rPr>
              <w:t xml:space="preserve">1</w:t>
            </w:r>
          </w:p>
        </w:tc>
        <w:tc>
          <w:tcPr>
            <w:tcW w:w="1113" w:type="dxa"/>
          </w:tcPr>
          <w:p>
            <w:pPr>
              <w:spacing w:after="0"/>
            </w:pPr>
            <w:r>
              <w:rPr>
                <w:sz w:val="18"/>
              </w:rPr>
              <w:t xml:space="preserve">OK</w:t>
            </w:r>
          </w:p>
        </w:tc>
      </w:tr>
      <w:tr>
        <w:tc>
          <w:tcPr>
            <w:tcW w:w="2385" w:type="dxa"/>
          </w:tcPr>
          <w:p>
            <w:pPr>
              <w:spacing w:after="0"/>
            </w:pPr>
            <w:r>
              <w:rPr>
                <w:sz w:val="18"/>
              </w:rPr>
              <w:t xml:space="preserve">IF-08 Payload Data Interface</w:t>
            </w:r>
          </w:p>
        </w:tc>
        <w:tc>
          <w:tcPr>
            <w:tcW w:w="2385" w:type="dxa"/>
          </w:tcPr>
          <w:p>
            <w:pPr>
              <w:spacing w:after="0"/>
            </w:pPr>
            <w:r>
              <w:rPr>
                <w:sz w:val="18"/>
              </w:rPr>
              <w:t xml:space="preserve">C&amp;DH ↔ S-band Transmitter</w:t>
            </w:r>
          </w:p>
        </w:tc>
        <w:tc>
          <w:tcPr>
            <w:tcW w:w="1113" w:type="dxa"/>
          </w:tcPr>
          <w:p>
            <w:pPr>
              <w:spacing w:after="0"/>
            </w:pPr>
            <w:r>
              <w:rPr>
                <w:sz w:val="18"/>
              </w:rPr>
              <w:t xml:space="preserve">Agreed</w:t>
            </w:r>
          </w:p>
        </w:tc>
        <w:tc>
          <w:tcPr>
            <w:tcW w:w="1272" w:type="dxa"/>
          </w:tcPr>
          <w:p>
            <w:pPr>
              <w:spacing w:after="0"/>
            </w:pPr>
            <w:r>
              <w:rPr>
                <w:sz w:val="18"/>
              </w:rPr>
              <w:t xml:space="preserve">Comms Lead</w:t>
            </w:r>
          </w:p>
        </w:tc>
        <w:tc>
          <w:tcPr>
            <w:tcW w:w="795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636" w:type="dxa"/>
          </w:tcPr>
          <w:p>
            <w:pPr>
              <w:spacing w:after="0"/>
            </w:pPr>
            <w:r>
              <w:rPr>
                <w:sz w:val="18"/>
              </w:rPr>
              <w:t xml:space="preserve">2</w:t>
            </w:r>
          </w:p>
        </w:tc>
        <w:tc>
          <w:tcPr>
            <w:tcW w:w="1113" w:type="dxa"/>
          </w:tcPr>
          <w:p>
            <w:pPr>
              <w:spacing w:after="0"/>
            </w:pPr>
            <w:r>
              <w:rPr>
                <w:sz w:val="18"/>
              </w:rPr>
              <w:t xml:space="preserve">OK</w:t>
            </w:r>
          </w:p>
        </w:tc>
      </w:tr>
    </w:tbl>
    <w:p>
      <w:pPr>
        <w:spacing w:after="0"/>
      </w:pPr>
    </w:p>
    <w:p>
      <w:pPr>
        <w:pStyle w:val="Heading2"/>
        <w:keepNext/>
      </w:pPr>
      <w:bookmarkStart w:id="2" w:name="_RefH000002"/>
      <w:r>
        <w:t xml:space="preserve">Status Summary</w:t>
      </w:r>
      <w:bookmarkEnd w:id="2"/>
    </w:p>
    <w:tbl>
      <w:tblPr>
        <w:tblStyle w:val="TableGrid"/>
        <w:tblW w:w="9700" w:type="dxa"/>
        <w:tblLayout w:type="fixed"/>
      </w:tblPr>
      <w:tblGrid>
        <w:gridCol w:w="6467"/>
        <w:gridCol w:w="3233"/>
      </w:tblGrid>
      <w:tr>
        <w:trPr>
          <w:tblHeader/>
        </w:trPr>
        <w:tc>
          <w:tcPr>
            <w:tcW w:w="6467" w:type="dxa"/>
            <w:shd w:val="clear" w:color="auto" w:fill="E7ECF3"/>
          </w:tcPr>
          <w:p>
            <w:pPr>
              <w:spacing w:after="0"/>
            </w:pPr>
            <w:r>
              <w:rPr>
                <w:b/>
              </w:rPr>
              <w:t xml:space="preserve">Status</w:t>
            </w:r>
          </w:p>
        </w:tc>
        <w:tc>
          <w:tcPr>
            <w:tcW w:w="3233" w:type="dxa"/>
            <w:shd w:val="clear" w:color="auto" w:fill="E7ECF3"/>
          </w:tcPr>
          <w:p>
            <w:pPr>
              <w:spacing w:after="0"/>
            </w:pPr>
            <w:r>
              <w:rPr>
                <w:b/>
              </w:rPr>
              <w:t xml:space="preserve">Count</w:t>
            </w:r>
          </w:p>
        </w:tc>
      </w:tr>
      <w:tr>
        <w:tc>
          <w:tcPr>
            <w:tcW w:w="6467" w:type="dxa"/>
          </w:tcPr>
          <w:p>
            <w:pPr>
              <w:spacing w:after="0"/>
            </w:pPr>
            <w:r>
              <w:t xml:space="preserve">Draft</w:t>
            </w:r>
          </w:p>
        </w:tc>
        <w:tc>
          <w:tcPr>
            <w:tcW w:w="3233" w:type="dxa"/>
          </w:tcPr>
          <w:p>
            <w:pPr>
              <w:spacing w:after="0"/>
            </w:pPr>
            <w:r>
              <w:t xml:space="preserve">0</w:t>
            </w:r>
          </w:p>
        </w:tc>
      </w:tr>
      <w:tr>
        <w:tc>
          <w:tcPr>
            <w:tcW w:w="6467" w:type="dxa"/>
          </w:tcPr>
          <w:p>
            <w:pPr>
              <w:spacing w:after="0"/>
            </w:pPr>
            <w:r>
              <w:t xml:space="preserve">Proposed</w:t>
            </w:r>
          </w:p>
        </w:tc>
        <w:tc>
          <w:tcPr>
            <w:tcW w:w="3233" w:type="dxa"/>
          </w:tcPr>
          <w:p>
            <w:pPr>
              <w:spacing w:after="0"/>
            </w:pPr>
            <w:r>
              <w:t xml:space="preserve">0</w:t>
            </w:r>
          </w:p>
        </w:tc>
      </w:tr>
      <w:tr>
        <w:tc>
          <w:tcPr>
            <w:tcW w:w="6467" w:type="dxa"/>
          </w:tcPr>
          <w:p>
            <w:pPr>
              <w:spacing w:after="0"/>
            </w:pPr>
            <w:r>
              <w:t xml:space="preserve">Agreed</w:t>
            </w:r>
          </w:p>
        </w:tc>
        <w:tc>
          <w:tcPr>
            <w:tcW w:w="3233" w:type="dxa"/>
          </w:tcPr>
          <w:p>
            <w:pPr>
              <w:spacing w:after="0"/>
            </w:pPr>
            <w:r>
              <w:t xml:space="preserve">2</w:t>
            </w:r>
          </w:p>
        </w:tc>
      </w:tr>
      <w:tr>
        <w:tc>
          <w:tcPr>
            <w:tcW w:w="6467" w:type="dxa"/>
          </w:tcPr>
          <w:p>
            <w:pPr>
              <w:spacing w:after="0"/>
            </w:pPr>
            <w:r>
              <w:t xml:space="preserve">Baselined</w:t>
            </w:r>
          </w:p>
        </w:tc>
        <w:tc>
          <w:tcPr>
            <w:tcW w:w="3233" w:type="dxa"/>
          </w:tcPr>
          <w:p>
            <w:pPr>
              <w:spacing w:after="0"/>
            </w:pPr>
            <w:r>
              <w:t xml:space="preserve">1</w:t>
            </w:r>
          </w:p>
        </w:tc>
      </w:tr>
      <w:tr>
        <w:tc>
          <w:tcPr>
            <w:tcW w:w="6467" w:type="dxa"/>
          </w:tcPr>
          <w:p>
            <w:pPr>
              <w:spacing w:after="0"/>
            </w:pPr>
            <w:r>
              <w:t xml:space="preserve">Not set</w:t>
            </w:r>
          </w:p>
        </w:tc>
        <w:tc>
          <w:tcPr>
            <w:tcW w:w="3233" w:type="dxa"/>
          </w:tcPr>
          <w:p>
            <w:pPr>
              <w:spacing w:after="0"/>
            </w:pPr>
            <w:r>
              <w:t xml:space="preserve">0</w:t>
            </w:r>
          </w:p>
        </w:tc>
      </w:tr>
    </w:tbl>
    <w:p>
      <w:pPr>
        <w:spacing w:after="0"/>
      </w:pPr>
    </w:p>
    <w:p>
      <w:pPr>
        <w:pStyle w:val="Heading1"/>
        <w:keepNext/>
      </w:pPr>
      <w:bookmarkStart w:id="3" w:name="_RefH000003"/>
      <w:r>
        <w:t xml:space="preserve">IF-26 C&amp;DH to Communications Interface</w:t>
      </w:r>
      <w:bookmarkEnd w:id="3"/>
    </w:p>
    <w:p>
      <w:r>
        <w:t xml:space="preserve">Everything that crosses the boundary between the flight computer and the radios: decoded commands from the UHF transceiver and payload data to the S-band transmitter.</w:t>
      </w:r>
    </w:p>
    <w:tbl>
      <w:tblPr>
        <w:tblStyle w:val="TableGrid"/>
        <w:tblW w:w="9700" w:type="dxa"/>
        <w:tblLayout w:type="fixed"/>
      </w:tblPr>
      <w:tblGrid>
        <w:gridCol w:w="2238"/>
        <w:gridCol w:w="7462"/>
      </w:tblGrid>
      <w:tr>
        <w:trPr>
          <w:tblHeader/>
        </w:trPr>
        <w:tc>
          <w:tcPr>
            <w:tcW w:w="2238" w:type="dxa"/>
            <w:shd w:val="clear" w:color="auto" w:fill="E7ECF3"/>
          </w:tcPr>
          <w:p>
            <w:pPr>
              <w:spacing w:after="0"/>
            </w:pPr>
            <w:r>
              <w:rPr>
                <w:b/>
              </w:rPr>
              <w:t xml:space="preserve">Endpoints</w:t>
            </w:r>
          </w:p>
        </w:tc>
        <w:tc>
          <w:tcPr>
            <w:tcW w:w="7462" w:type="dxa"/>
            <w:shd w:val="clear" w:color="auto" w:fill="E7ECF3"/>
          </w:tcPr>
          <w:p>
            <w:pPr>
              <w:spacing w:after="0"/>
            </w:pPr>
            <w:r>
              <w:rPr>
                <w:b/>
              </w:rPr>
              <w:t xml:space="preserve">C&amp;DH ↔ Communications</w:t>
            </w:r>
          </w:p>
        </w:tc>
      </w:tr>
      <w:tr>
        <w:tc>
          <w:tcPr>
            <w:tcW w:w="2238" w:type="dxa"/>
          </w:tcPr>
          <w:p>
            <w:pPr>
              <w:spacing w:after="0"/>
            </w:pPr>
            <w:r>
              <w:rPr>
                <w:b/>
              </w:rPr>
              <w:t xml:space="preserve">Status</w:t>
            </w:r>
          </w:p>
        </w:tc>
        <w:tc>
          <w:tcPr>
            <w:tcW w:w="7462" w:type="dxa"/>
          </w:tcPr>
          <w:p>
            <w:pPr>
              <w:spacing w:after="0"/>
            </w:pPr>
            <w:r>
              <w:t xml:space="preserve">Agreed</w:t>
            </w:r>
          </w:p>
        </w:tc>
      </w:tr>
      <w:tr>
        <w:tc>
          <w:tcPr>
            <w:tcW w:w="2238" w:type="dxa"/>
          </w:tcPr>
          <w:p>
            <w:pPr>
              <w:spacing w:after="0"/>
            </w:pPr>
            <w:r>
              <w:rPr>
                <w:b/>
              </w:rPr>
              <w:t xml:space="preserve">Owner</w:t>
            </w:r>
          </w:p>
        </w:tc>
        <w:tc>
          <w:tcPr>
            <w:tcW w:w="7462" w:type="dxa"/>
          </w:tcPr>
          <w:p>
            <w:pPr>
              <w:spacing w:after="0"/>
            </w:pPr>
            <w:r>
              <w:t xml:space="preserve">Comms Lead</w:t>
            </w:r>
          </w:p>
        </w:tc>
      </w:tr>
      <w:tr>
        <w:tc>
          <w:tcPr>
            <w:tcW w:w="2238" w:type="dxa"/>
          </w:tcPr>
          <w:p>
            <w:pPr>
              <w:spacing w:after="0"/>
            </w:pPr>
            <w:r>
              <w:rPr>
                <w:b/>
              </w:rPr>
              <w:t xml:space="preserve">TBD/TBR</w:t>
            </w:r>
          </w:p>
        </w:tc>
        <w:tc>
          <w:tcPr>
            <w:tcW w:w="7462" w:type="dxa"/>
          </w:tcPr>
          <w:p>
            <w:pPr>
              <w:spacing w:after="0"/>
            </w:pPr>
            <w:r>
              <w:t xml:space="preserve">—</w:t>
            </w:r>
          </w:p>
        </w:tc>
      </w:tr>
      <w:tr>
        <w:tc>
          <w:tcPr>
            <w:tcW w:w="2238" w:type="dxa"/>
          </w:tcPr>
          <w:p>
            <w:pPr>
              <w:spacing w:after="0"/>
            </w:pPr>
            <w:r>
              <w:rPr>
                <w:b/>
              </w:rPr>
              <w:t xml:space="preserve">Connector/Pins</w:t>
            </w:r>
          </w:p>
        </w:tc>
        <w:tc>
          <w:tcPr>
            <w:tcW w:w="7462" w:type="dxa"/>
          </w:tcPr>
          <w:p>
            <w:pPr>
              <w:spacing w:after="0"/>
            </w:pPr>
            <w:r>
              <w:t xml:space="preserve">—</w:t>
            </w:r>
          </w:p>
        </w:tc>
      </w:tr>
      <w:tr>
        <w:tc>
          <w:tcPr>
            <w:tcW w:w="2238" w:type="dxa"/>
          </w:tcPr>
          <w:p>
            <w:pPr>
              <w:spacing w:after="0"/>
            </w:pPr>
            <w:r>
              <w:rPr>
                <w:b/>
              </w:rPr>
              <w:t xml:space="preserve">Medium</w:t>
            </w:r>
          </w:p>
        </w:tc>
        <w:tc>
          <w:tcPr>
            <w:tcW w:w="7462" w:type="dxa"/>
          </w:tcPr>
          <w:p>
            <w:pPr>
              <w:spacing w:after="0"/>
            </w:pPr>
            <w:r>
              <w:t xml:space="preserve">—</w:t>
            </w:r>
          </w:p>
        </w:tc>
      </w:tr>
      <w:tr>
        <w:tc>
          <w:tcPr>
            <w:tcW w:w="2238" w:type="dxa"/>
          </w:tcPr>
          <w:p>
            <w:pPr>
              <w:spacing w:after="0"/>
            </w:pPr>
            <w:r>
              <w:rPr>
                <w:b/>
              </w:rPr>
              <w:t xml:space="preserve">Latency</w:t>
            </w:r>
          </w:p>
        </w:tc>
        <w:tc>
          <w:tcPr>
            <w:tcW w:w="7462" w:type="dxa"/>
          </w:tcPr>
          <w:p>
            <w:pPr>
              <w:spacing w:after="0"/>
            </w:pPr>
            <w:r>
              <w:t xml:space="preserve">—</w:t>
            </w:r>
          </w:p>
        </w:tc>
      </w:tr>
      <w:tr>
        <w:tc>
          <w:tcPr>
            <w:tcW w:w="2238" w:type="dxa"/>
          </w:tcPr>
          <w:p>
            <w:pPr>
              <w:spacing w:after="0"/>
            </w:pPr>
            <w:r>
              <w:rPr>
                <w:b/>
              </w:rPr>
              <w:t xml:space="preserve">Capacity</w:t>
            </w:r>
          </w:p>
        </w:tc>
        <w:tc>
          <w:tcPr>
            <w:tcW w:w="7462" w:type="dxa"/>
          </w:tcPr>
          <w:p>
            <w:pPr>
              <w:spacing w:after="0"/>
            </w:pPr>
            <w:r>
              <w:t xml:space="preserve">—</w:t>
            </w:r>
          </w:p>
        </w:tc>
      </w:tr>
    </w:tbl>
    <w:p>
      <w:pPr>
        <w:spacing w:after="0"/>
      </w:pPr>
    </w:p>
    <w:p>
      <w:pPr>
        <w:pStyle w:val="Heading2"/>
        <w:keepNext/>
      </w:pPr>
      <w:bookmarkStart w:id="4" w:name="_RefH000004"/>
      <w:r>
        <w:t xml:space="preserve">Conveyed Items</w:t>
      </w:r>
      <w:bookmarkEnd w:id="4"/>
    </w:p>
    <w:tbl>
      <w:tblPr>
        <w:tblStyle w:val="TableGrid"/>
        <w:tblW w:w="9700" w:type="dxa"/>
        <w:tblLayout w:type="fixed"/>
      </w:tblPr>
      <w:tblGrid>
        <w:gridCol w:w="1830"/>
        <w:gridCol w:w="1830"/>
        <w:gridCol w:w="915"/>
        <w:gridCol w:w="1098"/>
        <w:gridCol w:w="1281"/>
        <w:gridCol w:w="2745"/>
      </w:tblGrid>
      <w:tr>
        <w:trPr>
          <w:tblHeader/>
        </w:trPr>
        <w:tc>
          <w:tcPr>
            <w:tcW w:w="1830" w:type="dxa"/>
            <w:shd w:val="clear" w:color="auto" w:fill="E7ECF3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Item</w:t>
            </w:r>
          </w:p>
        </w:tc>
        <w:tc>
          <w:tcPr>
            <w:tcW w:w="1830" w:type="dxa"/>
            <w:shd w:val="clear" w:color="auto" w:fill="E7ECF3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Direction</w:t>
            </w:r>
          </w:p>
        </w:tc>
        <w:tc>
          <w:tcPr>
            <w:tcW w:w="915" w:type="dxa"/>
            <w:shd w:val="clear" w:color="auto" w:fill="E7ECF3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Size</w:t>
            </w:r>
          </w:p>
        </w:tc>
        <w:tc>
          <w:tcPr>
            <w:tcW w:w="1098" w:type="dxa"/>
            <w:shd w:val="clear" w:color="auto" w:fill="E7ECF3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Data Rate</w:t>
            </w:r>
          </w:p>
        </w:tc>
        <w:tc>
          <w:tcPr>
            <w:tcW w:w="1281" w:type="dxa"/>
            <w:shd w:val="clear" w:color="auto" w:fill="E7ECF3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Protocol/Format</w:t>
            </w:r>
          </w:p>
        </w:tc>
        <w:tc>
          <w:tcPr>
            <w:tcW w:w="2745" w:type="dxa"/>
            <w:shd w:val="clear" w:color="auto" w:fill="E7ECF3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Message/Data Definition</w:t>
            </w:r>
          </w:p>
        </w:tc>
      </w:tr>
      <w:tr>
        <w:tc>
          <w:tcPr>
            <w:tcW w:w="1830" w:type="dxa"/>
          </w:tcPr>
          <w:p>
            <w:pPr>
              <w:spacing w:after="0"/>
            </w:pPr>
            <w:r>
              <w:rPr>
                <w:sz w:val="18"/>
              </w:rPr>
              <w:t xml:space="preserve">IO-02 Command Packets</w:t>
            </w:r>
          </w:p>
        </w:tc>
        <w:tc>
          <w:tcPr>
            <w:tcW w:w="1830" w:type="dxa"/>
          </w:tcPr>
          <w:p>
            <w:pPr>
              <w:spacing w:after="0"/>
            </w:pPr>
            <w:r>
              <w:rPr>
                <w:sz w:val="18"/>
              </w:rPr>
              <w:t xml:space="preserve">Communications → C&amp;DH</w:t>
            </w:r>
          </w:p>
        </w:tc>
        <w:tc>
          <w:tcPr>
            <w:tcW w:w="915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098" w:type="dxa"/>
          </w:tcPr>
          <w:p>
            <w:pPr>
              <w:spacing w:after="0"/>
            </w:pPr>
            <w:r>
              <w:rPr>
                <w:sz w:val="18"/>
              </w:rPr>
              <w:t xml:space="preserve">0.0096 Mbps</w:t>
            </w:r>
          </w:p>
        </w:tc>
        <w:tc>
          <w:tcPr>
            <w:tcW w:w="1281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2745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c>
          <w:tcPr>
            <w:tcW w:w="1830" w:type="dxa"/>
          </w:tcPr>
          <w:p>
            <w:pPr>
              <w:spacing w:after="0"/>
            </w:pPr>
            <w:r>
              <w:rPr>
                <w:sz w:val="18"/>
              </w:rPr>
              <w:t xml:space="preserve">IO-05 Downlink Frames</w:t>
            </w:r>
          </w:p>
        </w:tc>
        <w:tc>
          <w:tcPr>
            <w:tcW w:w="1830" w:type="dxa"/>
          </w:tcPr>
          <w:p>
            <w:pPr>
              <w:spacing w:after="0"/>
            </w:pPr>
            <w:r>
              <w:rPr>
                <w:sz w:val="18"/>
              </w:rPr>
              <w:t xml:space="preserve">C&amp;DH → Communications</w:t>
            </w:r>
          </w:p>
        </w:tc>
        <w:tc>
          <w:tcPr>
            <w:tcW w:w="915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098" w:type="dxa"/>
          </w:tcPr>
          <w:p>
            <w:pPr>
              <w:spacing w:after="0"/>
            </w:pPr>
            <w:r>
              <w:rPr>
                <w:sz w:val="18"/>
              </w:rPr>
              <w:t xml:space="preserve">10 Mbps</w:t>
            </w:r>
          </w:p>
        </w:tc>
        <w:tc>
          <w:tcPr>
            <w:tcW w:w="1281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2745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c>
          <w:tcPr>
            <w:tcW w:w="1830" w:type="dxa"/>
          </w:tcPr>
          <w:p>
            <w:pPr>
              <w:spacing w:after="0"/>
            </w:pPr>
            <w:r>
              <w:rPr>
                <w:sz w:val="18"/>
              </w:rPr>
              <w:t xml:space="preserve">IO-31 Transmitter Enable Command</w:t>
            </w:r>
          </w:p>
        </w:tc>
        <w:tc>
          <w:tcPr>
            <w:tcW w:w="1830" w:type="dxa"/>
          </w:tcPr>
          <w:p>
            <w:pPr>
              <w:spacing w:after="0"/>
            </w:pPr>
            <w:r>
              <w:rPr>
                <w:sz w:val="18"/>
              </w:rPr>
              <w:t xml:space="preserve">C&amp;DH → Communications</w:t>
            </w:r>
          </w:p>
        </w:tc>
        <w:tc>
          <w:tcPr>
            <w:tcW w:w="915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098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281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2745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0"/>
      </w:pPr>
    </w:p>
    <w:p>
      <w:pPr>
        <w:pStyle w:val="Heading2"/>
        <w:keepNext/>
      </w:pPr>
      <w:bookmarkStart w:id="5" w:name="_RefH000005"/>
      <w:r>
        <w:t xml:space="preserve">Requirements</w:t>
      </w:r>
      <w:bookmarkEnd w:id="5"/>
    </w:p>
    <w:p>
      <w:r>
        <w:rPr>
          <w:i/>
        </w:rPr>
        <w:t xml:space="preserve">No requirements linked.</w:t>
      </w:r>
    </w:p>
    <w:p>
      <w:pPr>
        <w:pStyle w:val="Heading2"/>
        <w:keepNext/>
      </w:pPr>
      <w:bookmarkStart w:id="6" w:name="_RefH000006"/>
      <w:r>
        <w:t xml:space="preserve">Capacity Check</w:t>
      </w:r>
      <w:bookmarkEnd w:id="6"/>
    </w:p>
    <w:p>
      <w:r>
        <w:t xml:space="preserve">No Capacity set; the load is not checked.</w:t>
      </w:r>
    </w:p>
    <w:p>
      <w:pPr>
        <w:pStyle w:val="Heading1"/>
        <w:keepNext/>
      </w:pPr>
      <w:bookmarkStart w:id="7" w:name="_RefH000007"/>
      <w:r>
        <w:t xml:space="preserve">IF-07 Radio Command Interface</w:t>
      </w:r>
      <w:bookmarkEnd w:id="7"/>
    </w:p>
    <w:p>
      <w:r>
        <w:t xml:space="preserve">UART link that passes decoded command packets to the flight computer.</w:t>
      </w:r>
    </w:p>
    <w:tbl>
      <w:tblPr>
        <w:tblStyle w:val="TableGrid"/>
        <w:tblW w:w="9700" w:type="dxa"/>
        <w:tblLayout w:type="fixed"/>
      </w:tblPr>
      <w:tblGrid>
        <w:gridCol w:w="2238"/>
        <w:gridCol w:w="7462"/>
      </w:tblGrid>
      <w:tr>
        <w:trPr>
          <w:tblHeader/>
        </w:trPr>
        <w:tc>
          <w:tcPr>
            <w:tcW w:w="2238" w:type="dxa"/>
            <w:shd w:val="clear" w:color="auto" w:fill="E7ECF3"/>
          </w:tcPr>
          <w:p>
            <w:pPr>
              <w:spacing w:after="0"/>
            </w:pPr>
            <w:r>
              <w:rPr>
                <w:b/>
              </w:rPr>
              <w:t xml:space="preserve">Endpoints</w:t>
            </w:r>
          </w:p>
        </w:tc>
        <w:tc>
          <w:tcPr>
            <w:tcW w:w="7462" w:type="dxa"/>
            <w:shd w:val="clear" w:color="auto" w:fill="E7ECF3"/>
          </w:tcPr>
          <w:p>
            <w:pPr>
              <w:spacing w:after="0"/>
            </w:pPr>
            <w:r>
              <w:rPr>
                <w:b/>
              </w:rPr>
              <w:t xml:space="preserve">UHF Transceiver ↔ C&amp;DH</w:t>
            </w:r>
          </w:p>
        </w:tc>
      </w:tr>
      <w:tr>
        <w:tc>
          <w:tcPr>
            <w:tcW w:w="2238" w:type="dxa"/>
          </w:tcPr>
          <w:p>
            <w:pPr>
              <w:spacing w:after="0"/>
            </w:pPr>
            <w:r>
              <w:rPr>
                <w:b/>
              </w:rPr>
              <w:t xml:space="preserve">Status</w:t>
            </w:r>
          </w:p>
        </w:tc>
        <w:tc>
          <w:tcPr>
            <w:tcW w:w="7462" w:type="dxa"/>
          </w:tcPr>
          <w:p>
            <w:pPr>
              <w:spacing w:after="0"/>
            </w:pPr>
            <w:r>
              <w:t xml:space="preserve">Baselined</w:t>
            </w:r>
          </w:p>
        </w:tc>
      </w:tr>
      <w:tr>
        <w:tc>
          <w:tcPr>
            <w:tcW w:w="2238" w:type="dxa"/>
          </w:tcPr>
          <w:p>
            <w:pPr>
              <w:spacing w:after="0"/>
            </w:pPr>
            <w:r>
              <w:rPr>
                <w:b/>
              </w:rPr>
              <w:t xml:space="preserve">Owner</w:t>
            </w:r>
          </w:p>
        </w:tc>
        <w:tc>
          <w:tcPr>
            <w:tcW w:w="7462" w:type="dxa"/>
          </w:tcPr>
          <w:p>
            <w:pPr>
              <w:spacing w:after="0"/>
            </w:pPr>
            <w:r>
              <w:t xml:space="preserve">Comms Lead</w:t>
            </w:r>
          </w:p>
        </w:tc>
      </w:tr>
      <w:tr>
        <w:tc>
          <w:tcPr>
            <w:tcW w:w="2238" w:type="dxa"/>
          </w:tcPr>
          <w:p>
            <w:pPr>
              <w:spacing w:after="0"/>
            </w:pPr>
            <w:r>
              <w:rPr>
                <w:b/>
              </w:rPr>
              <w:t xml:space="preserve">TBD/TBR</w:t>
            </w:r>
          </w:p>
        </w:tc>
        <w:tc>
          <w:tcPr>
            <w:tcW w:w="7462" w:type="dxa"/>
          </w:tcPr>
          <w:p>
            <w:pPr>
              <w:spacing w:after="0"/>
            </w:pPr>
            <w:r>
              <w:t xml:space="preserve">—</w:t>
            </w:r>
          </w:p>
        </w:tc>
      </w:tr>
      <w:tr>
        <w:tc>
          <w:tcPr>
            <w:tcW w:w="2238" w:type="dxa"/>
          </w:tcPr>
          <w:p>
            <w:pPr>
              <w:spacing w:after="0"/>
            </w:pPr>
            <w:r>
              <w:rPr>
                <w:b/>
              </w:rPr>
              <w:t xml:space="preserve">Connector/Pins</w:t>
            </w:r>
          </w:p>
        </w:tc>
        <w:tc>
          <w:tcPr>
            <w:tcW w:w="7462" w:type="dxa"/>
          </w:tcPr>
          <w:p>
            <w:pPr>
              <w:spacing w:after="0"/>
            </w:pPr>
            <w:r>
              <w:t xml:space="preserve">J3 (Micro-D 9)</w:t>
            </w:r>
          </w:p>
        </w:tc>
      </w:tr>
      <w:tr>
        <w:tc>
          <w:tcPr>
            <w:tcW w:w="2238" w:type="dxa"/>
          </w:tcPr>
          <w:p>
            <w:pPr>
              <w:spacing w:after="0"/>
            </w:pPr>
            <w:r>
              <w:rPr>
                <w:b/>
              </w:rPr>
              <w:t xml:space="preserve">Medium</w:t>
            </w:r>
          </w:p>
        </w:tc>
        <w:tc>
          <w:tcPr>
            <w:tcW w:w="7462" w:type="dxa"/>
          </w:tcPr>
          <w:p>
            <w:pPr>
              <w:spacing w:after="0"/>
            </w:pPr>
            <w:r>
              <w:t xml:space="preserve">UART, 115.2 kbaud</w:t>
            </w:r>
          </w:p>
        </w:tc>
      </w:tr>
      <w:tr>
        <w:tc>
          <w:tcPr>
            <w:tcW w:w="2238" w:type="dxa"/>
          </w:tcPr>
          <w:p>
            <w:pPr>
              <w:spacing w:after="0"/>
            </w:pPr>
            <w:r>
              <w:rPr>
                <w:b/>
              </w:rPr>
              <w:t xml:space="preserve">Latency</w:t>
            </w:r>
          </w:p>
        </w:tc>
        <w:tc>
          <w:tcPr>
            <w:tcW w:w="7462" w:type="dxa"/>
          </w:tcPr>
          <w:p>
            <w:pPr>
              <w:spacing w:after="0"/>
            </w:pPr>
            <w:r>
              <w:t xml:space="preserve">—</w:t>
            </w:r>
          </w:p>
        </w:tc>
      </w:tr>
      <w:tr>
        <w:tc>
          <w:tcPr>
            <w:tcW w:w="2238" w:type="dxa"/>
          </w:tcPr>
          <w:p>
            <w:pPr>
              <w:spacing w:after="0"/>
            </w:pPr>
            <w:r>
              <w:rPr>
                <w:b/>
              </w:rPr>
              <w:t xml:space="preserve">Capacity</w:t>
            </w:r>
          </w:p>
        </w:tc>
        <w:tc>
          <w:tcPr>
            <w:tcW w:w="7462" w:type="dxa"/>
          </w:tcPr>
          <w:p>
            <w:pPr>
              <w:spacing w:after="0"/>
            </w:pPr>
            <w:r>
              <w:t xml:space="preserve">0.1 Mbps</w:t>
            </w:r>
          </w:p>
        </w:tc>
      </w:tr>
    </w:tbl>
    <w:p>
      <w:pPr>
        <w:spacing w:after="0"/>
      </w:pPr>
    </w:p>
    <w:p>
      <w:pPr>
        <w:pStyle w:val="Heading2"/>
        <w:keepNext/>
      </w:pPr>
      <w:bookmarkStart w:id="8" w:name="_RefH000008"/>
      <w:r>
        <w:t xml:space="preserve">Conveyed Items</w:t>
      </w:r>
      <w:bookmarkEnd w:id="8"/>
    </w:p>
    <w:tbl>
      <w:tblPr>
        <w:tblStyle w:val="TableGrid"/>
        <w:tblW w:w="9700" w:type="dxa"/>
        <w:tblLayout w:type="fixed"/>
      </w:tblPr>
      <w:tblGrid>
        <w:gridCol w:w="1830"/>
        <w:gridCol w:w="1830"/>
        <w:gridCol w:w="915"/>
        <w:gridCol w:w="1098"/>
        <w:gridCol w:w="1281"/>
        <w:gridCol w:w="2745"/>
      </w:tblGrid>
      <w:tr>
        <w:trPr>
          <w:tblHeader/>
        </w:trPr>
        <w:tc>
          <w:tcPr>
            <w:tcW w:w="1830" w:type="dxa"/>
            <w:shd w:val="clear" w:color="auto" w:fill="E7ECF3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Item</w:t>
            </w:r>
          </w:p>
        </w:tc>
        <w:tc>
          <w:tcPr>
            <w:tcW w:w="1830" w:type="dxa"/>
            <w:shd w:val="clear" w:color="auto" w:fill="E7ECF3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Direction</w:t>
            </w:r>
          </w:p>
        </w:tc>
        <w:tc>
          <w:tcPr>
            <w:tcW w:w="915" w:type="dxa"/>
            <w:shd w:val="clear" w:color="auto" w:fill="E7ECF3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Size</w:t>
            </w:r>
          </w:p>
        </w:tc>
        <w:tc>
          <w:tcPr>
            <w:tcW w:w="1098" w:type="dxa"/>
            <w:shd w:val="clear" w:color="auto" w:fill="E7ECF3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Data Rate</w:t>
            </w:r>
          </w:p>
        </w:tc>
        <w:tc>
          <w:tcPr>
            <w:tcW w:w="1281" w:type="dxa"/>
            <w:shd w:val="clear" w:color="auto" w:fill="E7ECF3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Protocol/Format</w:t>
            </w:r>
          </w:p>
        </w:tc>
        <w:tc>
          <w:tcPr>
            <w:tcW w:w="2745" w:type="dxa"/>
            <w:shd w:val="clear" w:color="auto" w:fill="E7ECF3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Message/Data Definition</w:t>
            </w:r>
          </w:p>
        </w:tc>
      </w:tr>
      <w:tr>
        <w:tc>
          <w:tcPr>
            <w:tcW w:w="1830" w:type="dxa"/>
          </w:tcPr>
          <w:p>
            <w:pPr>
              <w:spacing w:after="0"/>
            </w:pPr>
            <w:r>
              <w:rPr>
                <w:sz w:val="18"/>
              </w:rPr>
              <w:t xml:space="preserve">IO-02 Command Packets</w:t>
            </w:r>
          </w:p>
        </w:tc>
        <w:tc>
          <w:tcPr>
            <w:tcW w:w="1830" w:type="dxa"/>
          </w:tcPr>
          <w:p>
            <w:pPr>
              <w:spacing w:after="0"/>
            </w:pPr>
            <w:r>
              <w:rPr>
                <w:sz w:val="18"/>
              </w:rPr>
              <w:t xml:space="preserve">UHF Transceiver → C&amp;DH</w:t>
            </w:r>
          </w:p>
        </w:tc>
        <w:tc>
          <w:tcPr>
            <w:tcW w:w="915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098" w:type="dxa"/>
          </w:tcPr>
          <w:p>
            <w:pPr>
              <w:spacing w:after="0"/>
            </w:pPr>
            <w:r>
              <w:rPr>
                <w:sz w:val="18"/>
              </w:rPr>
              <w:t xml:space="preserve">0.0096 Mbps</w:t>
            </w:r>
          </w:p>
        </w:tc>
        <w:tc>
          <w:tcPr>
            <w:tcW w:w="1281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2745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0"/>
      </w:pPr>
    </w:p>
    <w:p>
      <w:pPr>
        <w:pStyle w:val="Heading2"/>
        <w:keepNext/>
      </w:pPr>
      <w:bookmarkStart w:id="9" w:name="_RefH000009"/>
      <w:r>
        <w:t xml:space="preserve">Requirements</w:t>
      </w:r>
      <w:bookmarkEnd w:id="9"/>
    </w:p>
    <w:tbl>
      <w:tblPr>
        <w:tblStyle w:val="TableGrid"/>
        <w:tblW w:w="9700" w:type="dxa"/>
        <w:tblLayout w:type="fixed"/>
      </w:tblPr>
      <w:tblGrid>
        <w:gridCol w:w="1386"/>
        <w:gridCol w:w="2771"/>
        <w:gridCol w:w="5543"/>
      </w:tblGrid>
      <w:tr>
        <w:trPr>
          <w:tblHeader/>
        </w:trPr>
        <w:tc>
          <w:tcPr>
            <w:tcW w:w="1386" w:type="dxa"/>
            <w:shd w:val="clear" w:color="auto" w:fill="E7ECF3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Number</w:t>
            </w:r>
          </w:p>
        </w:tc>
        <w:tc>
          <w:tcPr>
            <w:tcW w:w="2771" w:type="dxa"/>
            <w:shd w:val="clear" w:color="auto" w:fill="E7ECF3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Requirement</w:t>
            </w:r>
          </w:p>
        </w:tc>
        <w:tc>
          <w:tcPr>
            <w:tcW w:w="5543" w:type="dxa"/>
            <w:shd w:val="clear" w:color="auto" w:fill="E7ECF3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Statement</w:t>
            </w:r>
          </w:p>
        </w:tc>
      </w:tr>
      <w:tr>
        <w:tc>
          <w:tcPr>
            <w:tcW w:w="1386" w:type="dxa"/>
          </w:tcPr>
          <w:p>
            <w:pPr>
              <w:spacing w:after="0"/>
            </w:pPr>
            <w:r>
              <w:rPr>
                <w:sz w:val="18"/>
              </w:rPr>
              <w:t xml:space="preserve">5.2</w:t>
            </w:r>
          </w:p>
        </w:tc>
        <w:tc>
          <w:tcPr>
            <w:tcW w:w="2771" w:type="dxa"/>
          </w:tcPr>
          <w:p>
            <w:pPr>
              <w:spacing w:after="0"/>
            </w:pPr>
            <w:r>
              <w:rPr>
                <w:sz w:val="18"/>
              </w:rPr>
              <w:t xml:space="preserve">UHF Command Uplink</w:t>
            </w:r>
          </w:p>
        </w:tc>
        <w:tc>
          <w:tcPr>
            <w:tcW w:w="5543" w:type="dxa"/>
          </w:tcPr>
          <w:p>
            <w:pPr>
              <w:spacing w:after="0"/>
            </w:pPr>
            <w:r>
              <w:rPr>
                <w:sz w:val="18"/>
              </w:rPr>
              <w:t xml:space="preserve">The UHF transceiver shall receive ground commands at 9.6 kbps.</w:t>
            </w:r>
          </w:p>
        </w:tc>
      </w:tr>
    </w:tbl>
    <w:p>
      <w:pPr>
        <w:spacing w:after="0"/>
      </w:pPr>
    </w:p>
    <w:p>
      <w:pPr>
        <w:pStyle w:val="Heading2"/>
        <w:keepNext/>
      </w:pPr>
      <w:bookmarkStart w:id="10" w:name="_RefH000010"/>
      <w:r>
        <w:t xml:space="preserve">Capacity Check</w:t>
      </w:r>
      <w:bookmarkEnd w:id="10"/>
    </w:p>
    <w:p>
      <w:r>
        <w:t xml:space="preserve">Within capacity: 0.0096 of 0.1 Mbps (10%).</w:t>
      </w:r>
    </w:p>
    <w:p>
      <w:pPr>
        <w:pStyle w:val="Heading1"/>
        <w:keepNext/>
      </w:pPr>
      <w:bookmarkStart w:id="11" w:name="_RefH000011"/>
      <w:r>
        <w:t xml:space="preserve">IF-08 Payload Data Interface</w:t>
      </w:r>
      <w:bookmarkEnd w:id="11"/>
    </w:p>
    <w:p>
      <w:r>
        <w:t xml:space="preserve">SpaceWire link that streams downlink frames to the S-band transmitter.</w:t>
      </w:r>
    </w:p>
    <w:tbl>
      <w:tblPr>
        <w:tblStyle w:val="TableGrid"/>
        <w:tblW w:w="9700" w:type="dxa"/>
        <w:tblLayout w:type="fixed"/>
      </w:tblPr>
      <w:tblGrid>
        <w:gridCol w:w="2238"/>
        <w:gridCol w:w="7462"/>
      </w:tblGrid>
      <w:tr>
        <w:trPr>
          <w:tblHeader/>
        </w:trPr>
        <w:tc>
          <w:tcPr>
            <w:tcW w:w="2238" w:type="dxa"/>
            <w:shd w:val="clear" w:color="auto" w:fill="E7ECF3"/>
          </w:tcPr>
          <w:p>
            <w:pPr>
              <w:spacing w:after="0"/>
            </w:pPr>
            <w:r>
              <w:rPr>
                <w:b/>
              </w:rPr>
              <w:t xml:space="preserve">Endpoints</w:t>
            </w:r>
          </w:p>
        </w:tc>
        <w:tc>
          <w:tcPr>
            <w:tcW w:w="7462" w:type="dxa"/>
            <w:shd w:val="clear" w:color="auto" w:fill="E7ECF3"/>
          </w:tcPr>
          <w:p>
            <w:pPr>
              <w:spacing w:after="0"/>
            </w:pPr>
            <w:r>
              <w:rPr>
                <w:b/>
              </w:rPr>
              <w:t xml:space="preserve">C&amp;DH ↔ S-band Transmitter</w:t>
            </w:r>
          </w:p>
        </w:tc>
      </w:tr>
      <w:tr>
        <w:tc>
          <w:tcPr>
            <w:tcW w:w="2238" w:type="dxa"/>
          </w:tcPr>
          <w:p>
            <w:pPr>
              <w:spacing w:after="0"/>
            </w:pPr>
            <w:r>
              <w:rPr>
                <w:b/>
              </w:rPr>
              <w:t xml:space="preserve">Status</w:t>
            </w:r>
          </w:p>
        </w:tc>
        <w:tc>
          <w:tcPr>
            <w:tcW w:w="7462" w:type="dxa"/>
          </w:tcPr>
          <w:p>
            <w:pPr>
              <w:spacing w:after="0"/>
            </w:pPr>
            <w:r>
              <w:t xml:space="preserve">Agreed</w:t>
            </w:r>
          </w:p>
        </w:tc>
      </w:tr>
      <w:tr>
        <w:tc>
          <w:tcPr>
            <w:tcW w:w="2238" w:type="dxa"/>
          </w:tcPr>
          <w:p>
            <w:pPr>
              <w:spacing w:after="0"/>
            </w:pPr>
            <w:r>
              <w:rPr>
                <w:b/>
              </w:rPr>
              <w:t xml:space="preserve">Owner</w:t>
            </w:r>
          </w:p>
        </w:tc>
        <w:tc>
          <w:tcPr>
            <w:tcW w:w="7462" w:type="dxa"/>
          </w:tcPr>
          <w:p>
            <w:pPr>
              <w:spacing w:after="0"/>
            </w:pPr>
            <w:r>
              <w:t xml:space="preserve">Comms Lead</w:t>
            </w:r>
          </w:p>
        </w:tc>
      </w:tr>
      <w:tr>
        <w:tc>
          <w:tcPr>
            <w:tcW w:w="2238" w:type="dxa"/>
          </w:tcPr>
          <w:p>
            <w:pPr>
              <w:spacing w:after="0"/>
            </w:pPr>
            <w:r>
              <w:rPr>
                <w:b/>
              </w:rPr>
              <w:t xml:space="preserve">TBD/TBR</w:t>
            </w:r>
          </w:p>
        </w:tc>
        <w:tc>
          <w:tcPr>
            <w:tcW w:w="7462" w:type="dxa"/>
          </w:tcPr>
          <w:p>
            <w:pPr>
              <w:spacing w:after="0"/>
            </w:pPr>
            <w:r>
              <w:t xml:space="preserve">—</w:t>
            </w:r>
          </w:p>
        </w:tc>
      </w:tr>
      <w:tr>
        <w:tc>
          <w:tcPr>
            <w:tcW w:w="2238" w:type="dxa"/>
          </w:tcPr>
          <w:p>
            <w:pPr>
              <w:spacing w:after="0"/>
            </w:pPr>
            <w:r>
              <w:rPr>
                <w:b/>
              </w:rPr>
              <w:t xml:space="preserve">Connector/Pins</w:t>
            </w:r>
          </w:p>
        </w:tc>
        <w:tc>
          <w:tcPr>
            <w:tcW w:w="7462" w:type="dxa"/>
          </w:tcPr>
          <w:p>
            <w:pPr>
              <w:spacing w:after="0"/>
            </w:pPr>
            <w:r>
              <w:t xml:space="preserve">J4 (Micro-D 9)</w:t>
            </w:r>
          </w:p>
        </w:tc>
      </w:tr>
      <w:tr>
        <w:tc>
          <w:tcPr>
            <w:tcW w:w="2238" w:type="dxa"/>
          </w:tcPr>
          <w:p>
            <w:pPr>
              <w:spacing w:after="0"/>
            </w:pPr>
            <w:r>
              <w:rPr>
                <w:b/>
              </w:rPr>
              <w:t xml:space="preserve">Medium</w:t>
            </w:r>
          </w:p>
        </w:tc>
        <w:tc>
          <w:tcPr>
            <w:tcW w:w="7462" w:type="dxa"/>
          </w:tcPr>
          <w:p>
            <w:pPr>
              <w:spacing w:after="0"/>
            </w:pPr>
            <w:r>
              <w:t xml:space="preserve">SpaceWire</w:t>
            </w:r>
          </w:p>
        </w:tc>
      </w:tr>
      <w:tr>
        <w:tc>
          <w:tcPr>
            <w:tcW w:w="2238" w:type="dxa"/>
          </w:tcPr>
          <w:p>
            <w:pPr>
              <w:spacing w:after="0"/>
            </w:pPr>
            <w:r>
              <w:rPr>
                <w:b/>
              </w:rPr>
              <w:t xml:space="preserve">Latency</w:t>
            </w:r>
          </w:p>
        </w:tc>
        <w:tc>
          <w:tcPr>
            <w:tcW w:w="7462" w:type="dxa"/>
          </w:tcPr>
          <w:p>
            <w:pPr>
              <w:spacing w:after="0"/>
            </w:pPr>
            <w:r>
              <w:t xml:space="preserve">—</w:t>
            </w:r>
          </w:p>
        </w:tc>
      </w:tr>
      <w:tr>
        <w:tc>
          <w:tcPr>
            <w:tcW w:w="2238" w:type="dxa"/>
          </w:tcPr>
          <w:p>
            <w:pPr>
              <w:spacing w:after="0"/>
            </w:pPr>
            <w:r>
              <w:rPr>
                <w:b/>
              </w:rPr>
              <w:t xml:space="preserve">Capacity</w:t>
            </w:r>
          </w:p>
        </w:tc>
        <w:tc>
          <w:tcPr>
            <w:tcW w:w="7462" w:type="dxa"/>
          </w:tcPr>
          <w:p>
            <w:pPr>
              <w:spacing w:after="0"/>
            </w:pPr>
            <w:r>
              <w:t xml:space="preserve">100 Mbps</w:t>
            </w:r>
          </w:p>
        </w:tc>
      </w:tr>
    </w:tbl>
    <w:p>
      <w:pPr>
        <w:spacing w:after="0"/>
      </w:pPr>
    </w:p>
    <w:p>
      <w:pPr>
        <w:pStyle w:val="Heading2"/>
        <w:keepNext/>
      </w:pPr>
      <w:bookmarkStart w:id="12" w:name="_RefH000012"/>
      <w:r>
        <w:t xml:space="preserve">Conveyed Items</w:t>
      </w:r>
      <w:bookmarkEnd w:id="12"/>
    </w:p>
    <w:tbl>
      <w:tblPr>
        <w:tblStyle w:val="TableGrid"/>
        <w:tblW w:w="9700" w:type="dxa"/>
        <w:tblLayout w:type="fixed"/>
      </w:tblPr>
      <w:tblGrid>
        <w:gridCol w:w="1830"/>
        <w:gridCol w:w="1830"/>
        <w:gridCol w:w="915"/>
        <w:gridCol w:w="1098"/>
        <w:gridCol w:w="1281"/>
        <w:gridCol w:w="2745"/>
      </w:tblGrid>
      <w:tr>
        <w:trPr>
          <w:tblHeader/>
        </w:trPr>
        <w:tc>
          <w:tcPr>
            <w:tcW w:w="1830" w:type="dxa"/>
            <w:shd w:val="clear" w:color="auto" w:fill="E7ECF3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Item</w:t>
            </w:r>
          </w:p>
        </w:tc>
        <w:tc>
          <w:tcPr>
            <w:tcW w:w="1830" w:type="dxa"/>
            <w:shd w:val="clear" w:color="auto" w:fill="E7ECF3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Direction</w:t>
            </w:r>
          </w:p>
        </w:tc>
        <w:tc>
          <w:tcPr>
            <w:tcW w:w="915" w:type="dxa"/>
            <w:shd w:val="clear" w:color="auto" w:fill="E7ECF3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Size</w:t>
            </w:r>
          </w:p>
        </w:tc>
        <w:tc>
          <w:tcPr>
            <w:tcW w:w="1098" w:type="dxa"/>
            <w:shd w:val="clear" w:color="auto" w:fill="E7ECF3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Data Rate</w:t>
            </w:r>
          </w:p>
        </w:tc>
        <w:tc>
          <w:tcPr>
            <w:tcW w:w="1281" w:type="dxa"/>
            <w:shd w:val="clear" w:color="auto" w:fill="E7ECF3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Protocol/Format</w:t>
            </w:r>
          </w:p>
        </w:tc>
        <w:tc>
          <w:tcPr>
            <w:tcW w:w="2745" w:type="dxa"/>
            <w:shd w:val="clear" w:color="auto" w:fill="E7ECF3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Message/Data Definition</w:t>
            </w:r>
          </w:p>
        </w:tc>
      </w:tr>
      <w:tr>
        <w:tc>
          <w:tcPr>
            <w:tcW w:w="1830" w:type="dxa"/>
          </w:tcPr>
          <w:p>
            <w:pPr>
              <w:spacing w:after="0"/>
            </w:pPr>
            <w:r>
              <w:rPr>
                <w:sz w:val="18"/>
              </w:rPr>
              <w:t xml:space="preserve">IO-05 Downlink Frames</w:t>
            </w:r>
          </w:p>
        </w:tc>
        <w:tc>
          <w:tcPr>
            <w:tcW w:w="1830" w:type="dxa"/>
          </w:tcPr>
          <w:p>
            <w:pPr>
              <w:spacing w:after="0"/>
            </w:pPr>
            <w:r>
              <w:rPr>
                <w:sz w:val="18"/>
              </w:rPr>
              <w:t xml:space="preserve">C&amp;DH → S-band Transmitter</w:t>
            </w:r>
          </w:p>
        </w:tc>
        <w:tc>
          <w:tcPr>
            <w:tcW w:w="915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098" w:type="dxa"/>
          </w:tcPr>
          <w:p>
            <w:pPr>
              <w:spacing w:after="0"/>
            </w:pPr>
            <w:r>
              <w:rPr>
                <w:sz w:val="18"/>
              </w:rPr>
              <w:t xml:space="preserve">10 Mbps</w:t>
            </w:r>
          </w:p>
        </w:tc>
        <w:tc>
          <w:tcPr>
            <w:tcW w:w="1281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2745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c>
          <w:tcPr>
            <w:tcW w:w="1830" w:type="dxa"/>
          </w:tcPr>
          <w:p>
            <w:pPr>
              <w:spacing w:after="0"/>
            </w:pPr>
            <w:r>
              <w:rPr>
                <w:sz w:val="18"/>
              </w:rPr>
              <w:t xml:space="preserve">IO-31 Transmitter Enable Command</w:t>
            </w:r>
          </w:p>
        </w:tc>
        <w:tc>
          <w:tcPr>
            <w:tcW w:w="1830" w:type="dxa"/>
          </w:tcPr>
          <w:p>
            <w:pPr>
              <w:spacing w:after="0"/>
            </w:pPr>
            <w:r>
              <w:rPr>
                <w:sz w:val="18"/>
              </w:rPr>
              <w:t xml:space="preserve">C&amp;DH → S-band Transmitter</w:t>
            </w:r>
          </w:p>
        </w:tc>
        <w:tc>
          <w:tcPr>
            <w:tcW w:w="915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098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281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2745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0"/>
      </w:pPr>
    </w:p>
    <w:p>
      <w:pPr>
        <w:pStyle w:val="Heading2"/>
        <w:keepNext/>
      </w:pPr>
      <w:bookmarkStart w:id="13" w:name="_RefH000013"/>
      <w:r>
        <w:t xml:space="preserve">Requirements</w:t>
      </w:r>
      <w:bookmarkEnd w:id="13"/>
    </w:p>
    <w:tbl>
      <w:tblPr>
        <w:tblStyle w:val="TableGrid"/>
        <w:tblW w:w="9700" w:type="dxa"/>
        <w:tblLayout w:type="fixed"/>
      </w:tblPr>
      <w:tblGrid>
        <w:gridCol w:w="1386"/>
        <w:gridCol w:w="2771"/>
        <w:gridCol w:w="5543"/>
      </w:tblGrid>
      <w:tr>
        <w:trPr>
          <w:tblHeader/>
        </w:trPr>
        <w:tc>
          <w:tcPr>
            <w:tcW w:w="1386" w:type="dxa"/>
            <w:shd w:val="clear" w:color="auto" w:fill="E7ECF3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Number</w:t>
            </w:r>
          </w:p>
        </w:tc>
        <w:tc>
          <w:tcPr>
            <w:tcW w:w="2771" w:type="dxa"/>
            <w:shd w:val="clear" w:color="auto" w:fill="E7ECF3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Requirement</w:t>
            </w:r>
          </w:p>
        </w:tc>
        <w:tc>
          <w:tcPr>
            <w:tcW w:w="5543" w:type="dxa"/>
            <w:shd w:val="clear" w:color="auto" w:fill="E7ECF3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Statement</w:t>
            </w:r>
          </w:p>
        </w:tc>
      </w:tr>
      <w:tr>
        <w:tc>
          <w:tcPr>
            <w:tcW w:w="1386" w:type="dxa"/>
          </w:tcPr>
          <w:p>
            <w:pPr>
              <w:spacing w:after="0"/>
            </w:pPr>
            <w:r>
              <w:rPr>
                <w:sz w:val="18"/>
              </w:rPr>
              <w:t xml:space="preserve">5.1</w:t>
            </w:r>
          </w:p>
        </w:tc>
        <w:tc>
          <w:tcPr>
            <w:tcW w:w="2771" w:type="dxa"/>
          </w:tcPr>
          <w:p>
            <w:pPr>
              <w:spacing w:after="0"/>
            </w:pPr>
            <w:r>
              <w:rPr>
                <w:sz w:val="18"/>
              </w:rPr>
              <w:t xml:space="preserve">S-band Downlink Rate</w:t>
            </w:r>
          </w:p>
        </w:tc>
        <w:tc>
          <w:tcPr>
            <w:tcW w:w="5543" w:type="dxa"/>
          </w:tcPr>
          <w:p>
            <w:pPr>
              <w:spacing w:after="0"/>
            </w:pPr>
            <w:r>
              <w:rPr>
                <w:sz w:val="18"/>
              </w:rPr>
              <w:t xml:space="preserve">The S-band transmitter shall downlink payload data at 10 Mbps.</w:t>
            </w:r>
          </w:p>
        </w:tc>
      </w:tr>
    </w:tbl>
    <w:p>
      <w:pPr>
        <w:spacing w:after="0"/>
      </w:pPr>
    </w:p>
    <w:p>
      <w:pPr>
        <w:pStyle w:val="Heading2"/>
        <w:keepNext/>
      </w:pPr>
      <w:bookmarkStart w:id="14" w:name="_RefH000014"/>
      <w:r>
        <w:t xml:space="preserve">Capacity Check</w:t>
      </w:r>
      <w:bookmarkEnd w:id="14"/>
    </w:p>
    <w:p>
      <w:r>
        <w:t xml:space="preserve">Within capacity: 10 of 100 Mbps (10%).</w:t>
      </w:r>
    </w:p>
    <w:sectPr>
      <w:pgSz w:w="12240" w:h="15840"/>
      <w:pgMar w:top="1440" w:right="1260" w:bottom="1440" w:left="1260" w:header="720" w:footer="720" w:gutter="0"/>
    </w:sectPr>
  </w:body>
</w:document>
</file>

<file path=word/settings.xml><?xml version="1.0" encoding="utf-8"?>
<w:settings xmlns:w="http://schemas.openxmlformats.org/wordprocessingml/2006/main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00"/>
    </w:pPr>
    <w:rPr>
      <w:b/>
      <w:color w:val="14213D"/>
      <w:sz w:val="48"/>
    </w:rPr>
  </w:style>
  <w:style w:type="paragraph" w:styleId="Heading1">
    <w:name w:val="heading 1"/>
    <w:basedOn w:val="Normal"/>
    <w:next w:val="Normal"/>
    <w:uiPriority w:val="9"/>
    <w:qFormat/>
    <w:pPr>
      <w:keepNext/>
      <w:spacing w:before="360" w:after="80"/>
      <w:outlineLvl w:val="0"/>
    </w:pPr>
    <w:rPr>
      <w:b/>
      <w:color w:val="14213D"/>
      <w:sz w:val="32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280" w:after="80"/>
      <w:outlineLvl w:val="1"/>
    </w:pPr>
    <w:rPr>
      <w:b/>
      <w:color w:val="1F3864"/>
      <w:sz w:val="28"/>
    </w:rPr>
  </w:style>
  <w:style w:type="paragraph" w:styleId="Heading3">
    <w:name w:val="heading 3"/>
    <w:basedOn w:val="Normal"/>
    <w:next w:val="Normal"/>
    <w:uiPriority w:val="9"/>
    <w:qFormat/>
    <w:pPr>
      <w:keepNext/>
      <w:spacing w:before="240" w:after="80"/>
      <w:outlineLvl w:val="2"/>
    </w:pPr>
    <w:rPr>
      <w:b/>
      <w:color w:val="1F3864"/>
      <w:sz w:val="26"/>
    </w:rPr>
  </w:style>
  <w:style w:type="paragraph" w:styleId="Heading4">
    <w:name w:val="heading 4"/>
    <w:basedOn w:val="Normal"/>
    <w:next w:val="Normal"/>
    <w:uiPriority w:val="9"/>
    <w:qFormat/>
    <w:pPr>
      <w:keepNext/>
      <w:spacing w:before="200" w:after="80"/>
      <w:outlineLvl w:val="3"/>
    </w:pPr>
    <w:rPr>
      <w:b/>
      <w:color w:val="2F5496"/>
      <w:sz w:val="24"/>
    </w:rPr>
  </w:style>
  <w:style w:type="paragraph" w:styleId="Heading5">
    <w:name w:val="heading 5"/>
    <w:basedOn w:val="Normal"/>
    <w:next w:val="Normal"/>
    <w:uiPriority w:val="9"/>
    <w:qFormat/>
    <w:pPr>
      <w:keepNext/>
      <w:spacing w:before="200" w:after="80"/>
      <w:outlineLvl w:val="4"/>
    </w:pPr>
    <w:rPr>
      <w:b/>
      <w:color w:val="2F5496"/>
      <w:sz w:val="22"/>
    </w:rPr>
  </w:style>
  <w:style w:type="paragraph" w:styleId="Heading6">
    <w:name w:val="heading 6"/>
    <w:basedOn w:val="Normal"/>
    <w:next w:val="Normal"/>
    <w:uiPriority w:val="9"/>
    <w:qFormat/>
    <w:pPr>
      <w:keepNext/>
      <w:spacing w:before="160" w:after="80"/>
      <w:outlineLvl w:val="5"/>
    </w:pPr>
    <w:rPr>
      <w:b/>
      <w:color w:val="404040"/>
      <w:sz w:val="22"/>
    </w:rPr>
  </w:style>
  <w:style w:type="paragraph" w:styleId="TOCHeading">
    <w:name w:val="TOC Heading"/>
    <w:basedOn w:val="Normal"/>
    <w:next w:val="Normal"/>
    <w:pPr>
      <w:spacing w:before="240" w:after="120"/>
    </w:pPr>
    <w:rPr>
      <w:b/>
      <w:color w:val="14213D"/>
      <w:sz w:val="28"/>
    </w:rPr>
  </w:style>
  <w:style w:type="paragraph" w:styleId="TOC1">
    <w:name w:val="toc 1"/>
    <w:basedOn w:val="Normal"/>
    <w:next w:val="Normal"/>
    <w:uiPriority w:val="39"/>
    <w:pPr>
      <w:spacing w:after="40"/>
      <w:ind w:left="0"/>
    </w:pPr>
  </w:style>
  <w:style w:type="paragraph" w:styleId="TOC2">
    <w:name w:val="toc 2"/>
    <w:basedOn w:val="Normal"/>
    <w:next w:val="Normal"/>
    <w:uiPriority w:val="39"/>
    <w:pPr>
      <w:spacing w:after="40"/>
      <w:ind w:left="220"/>
    </w:pPr>
  </w:style>
  <w:style w:type="paragraph" w:styleId="TOC3">
    <w:name w:val="toc 3"/>
    <w:basedOn w:val="Normal"/>
    <w:next w:val="Normal"/>
    <w:uiPriority w:val="39"/>
    <w:pPr>
      <w:spacing w:after="40"/>
      <w:ind w:left="440"/>
    </w:pPr>
  </w:style>
  <w:style w:type="paragraph" w:styleId="TOC4">
    <w:name w:val="toc 4"/>
    <w:basedOn w:val="Normal"/>
    <w:next w:val="Normal"/>
    <w:uiPriority w:val="39"/>
    <w:pPr>
      <w:spacing w:after="40"/>
      <w:ind w:left="660"/>
    </w:pPr>
  </w:style>
  <w:style w:type="paragraph" w:styleId="TOC5">
    <w:name w:val="toc 5"/>
    <w:basedOn w:val="Normal"/>
    <w:next w:val="Normal"/>
    <w:uiPriority w:val="39"/>
    <w:pPr>
      <w:spacing w:after="40"/>
      <w:ind w:left="880"/>
    </w:pPr>
  </w:style>
  <w:style w:type="paragraph" w:styleId="TOC6">
    <w:name w:val="toc 6"/>
    <w:basedOn w:val="Normal"/>
    <w:next w:val="Normal"/>
    <w:uiPriority w:val="39"/>
    <w:pPr>
      <w:spacing w:after="40"/>
      <w:ind w:left="1100"/>
    </w:pPr>
  </w:style>
  <w:style w:type="paragraph" w:styleId="TableofFigures">
    <w:name w:val="table of figures"/>
    <w:basedOn w:val="Normal"/>
    <w:next w:val="Normal"/>
    <w:uiPriority w:val="99"/>
    <w:pPr>
      <w:spacing w:after="40"/>
    </w:pPr>
  </w:style>
  <w:style w:type="paragraph" w:styleId="Caption">
    <w:name w:val="caption"/>
    <w:basedOn w:val="Normal"/>
    <w:next w:val="Normal"/>
    <w:rPr>
      <w:i/>
      <w:color w:val="595959"/>
      <w:sz w:val="18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  <w:insideH w:val="single" w:sz="4" w:space="0" w:color="A6A6A6"/>
        <w:insideV w:val="single" w:sz="4" w:space="0" w:color="A6A6A6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Application>Holarch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ICD - C&amp;DH to Communications Interface</dc:title>
  <dc:subject/>
  <dc:creator>Holarch</dc:creator>
</cp:coreProperties>
</file>